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single" w:color="1B4F8A" w:sz="8"/>
              <w:right w:val="none" w:color="FFFFFF" w:sz="0"/>
            </w:tcBorders>
            <w:shd w:fill="FFFFFF" w:val="clear"/>
            <w:tcMar>
              <w:top w:type="dxa" w:w="160"/>
              <w:left w:type="dxa" w:w="0"/>
              <w:bottom w:type="dxa" w:w="160"/>
              <w:right w:type="dxa" w:w="0"/>
            </w:tcMar>
          </w:tcPr>
          <w:p>
            <w:pPr>
              <w:spacing w:after="60" w:before="80"/>
              <w:jc w:val="left"/>
            </w:pPr>
            <w:r>
              <w:rPr>
                <w:rFonts w:ascii="Calibri" w:cs="Calibri" w:eastAsia="Calibri" w:hAnsi="Calibri"/>
                <w:b w:val="false"/>
                <w:bCs w:val="false"/>
                <w:color w:val="999999"/>
                <w:sz w:val="18"/>
                <w:szCs w:val="18"/>
              </w:rPr>
              <w:t xml:space="preserve">AQA A Level Physical Education (7582)  —  Paper 1, Section A</w:t>
            </w:r>
          </w:p>
          <w:p>
            <w:pPr>
              <w:spacing w:after="60" w:before="60"/>
              <w:jc w:val="left"/>
            </w:pPr>
            <w:r>
              <w:rPr>
                <w:rFonts w:ascii="Calibri" w:cs="Calibri" w:eastAsia="Calibri" w:hAnsi="Calibri"/>
                <w:b/>
                <w:bCs/>
                <w:color w:val="1B4F8A"/>
                <w:sz w:val="22"/>
                <w:szCs w:val="22"/>
              </w:rPr>
              <w:t xml:space="preserve">❤️  Summer Transition Booklet 1</w:t>
            </w:r>
          </w:p>
          <w:p>
            <w:pPr>
              <w:spacing w:after="80" w:before="60"/>
              <w:jc w:val="left"/>
            </w:pPr>
            <w:r>
              <w:rPr>
                <w:rFonts w:ascii="Calibri" w:cs="Calibri" w:eastAsia="Calibri" w:hAnsi="Calibri"/>
                <w:b/>
                <w:bCs/>
                <w:color w:val="1B4F8A"/>
                <w:sz w:val="38"/>
                <w:szCs w:val="38"/>
              </w:rPr>
              <w:t xml:space="preserve">Applied Anatomy &amp; Physiology</w:t>
            </w:r>
          </w:p>
          <w:p>
            <w:pPr>
              <w:spacing w:after="60" w:before="60"/>
              <w:jc w:val="left"/>
            </w:pPr>
            <w:r>
              <w:rPr>
                <w:rFonts w:ascii="Calibri" w:cs="Calibri" w:eastAsia="Calibri" w:hAnsi="Calibri"/>
                <w:b w:val="false"/>
                <w:bCs w:val="false"/>
                <w:color w:val="555555"/>
                <w:sz w:val="24"/>
                <w:szCs w:val="24"/>
              </w:rPr>
              <w:t xml:space="preserve">Focus: The Cardiovascular &amp; Musculo-Skeletal Systems</w:t>
            </w:r>
          </w:p>
          <w:p>
            <w:pPr>
              <w:spacing w:after="100" w:before="60"/>
              <w:jc w:val="left"/>
            </w:pPr>
            <w:r>
              <w:rPr>
                <w:rFonts w:ascii="Calibri" w:cs="Calibri" w:eastAsia="Calibri" w:hAnsi="Calibri"/>
                <w:b w:val="false"/>
                <w:bCs w:val="false"/>
                <w:color w:val="555555"/>
                <w:sz w:val="20"/>
                <w:szCs w:val="20"/>
              </w:rPr>
              <w:t xml:space="preserve">Estimated time: 1 hour  |  All tasks are independent — complete at home before your first PE lesson in September</w:t>
            </w:r>
          </w:p>
        </w:tc>
      </w:tr>
    </w:tbl>
    <w:p>
      <w:pPr>
        <w:spacing w:after="60" w:before="60"/>
        <w:jc w:val="left"/>
      </w:pPr>
      <w:r>
        <w:rPr>
          <w:rFonts w:ascii="Calibri" w:cs="Calibri" w:eastAsia="Calibri" w:hAnsi="Calibri"/>
          <w:b w:val="false"/>
          <w:bCs w:val="false"/>
          <w:color w:val="082836"/>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Borders>
              <w:top w:val="single" w:color="DDDDDD" w:sz="2"/>
              <w:left w:val="single" w:color="DDDDDD" w:sz="2"/>
              <w:bottom w:val="single" w:color="DDDDDD" w:sz="2"/>
              <w:right w:val="single" w:color="DDDDDD" w:sz="2"/>
            </w:tcBorders>
            <w:tcMar>
              <w:top w:type="dxa" w:w="100"/>
              <w:left w:type="dxa" w:w="160"/>
              <w:bottom w:type="dxa" w:w="100"/>
              <w:right w:type="dxa" w:w="160"/>
            </w:tcMar>
          </w:tcPr>
          <w:p>
            <w:pPr>
              <w:spacing w:after="140" w:before="80"/>
              <w:jc w:val="left"/>
            </w:pPr>
            <w:r>
              <w:rPr>
                <w:rFonts w:ascii="Calibri" w:cs="Calibri" w:eastAsia="Calibri" w:hAnsi="Calibri"/>
                <w:b/>
                <w:bCs/>
                <w:color w:val="082836"/>
                <w:sz w:val="20"/>
                <w:szCs w:val="20"/>
              </w:rPr>
              <w:t xml:space="preserve">Name:</w:t>
            </w:r>
          </w:p>
          <w:p>
            <w:pPr>
              <w:spacing w:after="140" w:before="60"/>
              <w:jc w:val="left"/>
            </w:pPr>
            <w:r>
              <w:rPr>
                <w:rFonts w:ascii="Calibri" w:cs="Calibri" w:eastAsia="Calibri" w:hAnsi="Calibri"/>
                <w:b/>
                <w:bCs/>
                <w:color w:val="082836"/>
                <w:sz w:val="20"/>
                <w:szCs w:val="20"/>
              </w:rPr>
              <w:t xml:space="preserve">Class:</w:t>
            </w:r>
          </w:p>
        </w:tc>
        <w:tc>
          <w:tcPr>
            <w:tcBorders>
              <w:top w:val="single" w:color="DDDDDD" w:sz="2"/>
              <w:left w:val="single" w:color="DDDDDD" w:sz="2"/>
              <w:bottom w:val="single" w:color="DDDDDD" w:sz="2"/>
              <w:right w:val="single" w:color="DDDDDD" w:sz="2"/>
            </w:tcBorders>
            <w:tcMar>
              <w:top w:type="dxa" w:w="100"/>
              <w:left w:type="dxa" w:w="160"/>
              <w:bottom w:type="dxa" w:w="100"/>
              <w:right w:type="dxa" w:w="160"/>
            </w:tcMar>
          </w:tcPr>
          <w:p>
            <w:pPr>
              <w:spacing w:after="140" w:before="80"/>
              <w:jc w:val="left"/>
            </w:pPr>
            <w:r>
              <w:rPr>
                <w:rFonts w:ascii="Calibri" w:cs="Calibri" w:eastAsia="Calibri" w:hAnsi="Calibri"/>
                <w:b/>
                <w:bCs/>
                <w:color w:val="082836"/>
                <w:sz w:val="20"/>
                <w:szCs w:val="20"/>
              </w:rPr>
              <w:t xml:space="preserve">Date submitted:</w:t>
            </w:r>
          </w:p>
          <w:p>
            <w:pPr>
              <w:spacing w:after="140" w:before="60"/>
              <w:jc w:val="left"/>
            </w:pPr>
            <w:r>
              <w:rPr>
                <w:rFonts w:ascii="Calibri" w:cs="Calibri" w:eastAsia="Calibri" w:hAnsi="Calibri"/>
                <w:b/>
                <w:bCs/>
                <w:color w:val="082836"/>
                <w:sz w:val="20"/>
                <w:szCs w:val="20"/>
              </w:rPr>
              <w:t xml:space="preserve">Teacher:</w:t>
            </w:r>
          </w:p>
        </w:tc>
      </w:tr>
    </w:tbl>
    <w:p>
      <w:pPr>
        <w:spacing w:after="60" w:before="60"/>
        <w:jc w:val="left"/>
      </w:pPr>
      <w:r>
        <w:rPr>
          <w:rFonts w:ascii="Calibri" w:cs="Calibri" w:eastAsia="Calibri" w:hAnsi="Calibri"/>
          <w:b w:val="false"/>
          <w:bCs w:val="false"/>
          <w:color w:val="082836"/>
          <w:sz w:val="10"/>
          <w:szCs w:val="1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4"/>
              <w:left w:val="single" w:color="1B4F8A" w:sz="4"/>
              <w:bottom w:val="single" w:color="1B4F8A" w:sz="4"/>
              <w:right w:val="single" w:color="1B4F8A" w:sz="4"/>
            </w:tcBorders>
            <w:shd w:fill="EEF3FB" w:val="clear"/>
            <w:tcMar>
              <w:top w:type="dxa" w:w="120"/>
              <w:left w:type="dxa" w:w="220"/>
              <w:bottom w:type="dxa" w:w="120"/>
              <w:right w:type="dxa" w:w="220"/>
            </w:tcMar>
          </w:tcPr>
          <w:p>
            <w:pPr>
              <w:spacing w:after="60" w:before="60"/>
              <w:jc w:val="left"/>
            </w:pPr>
            <w:r>
              <w:rPr>
                <w:rFonts w:ascii="Calibri" w:cs="Calibri" w:eastAsia="Calibri" w:hAnsi="Calibri"/>
                <w:b/>
                <w:bCs/>
                <w:color w:val="1B4F8A"/>
                <w:sz w:val="22"/>
                <w:szCs w:val="22"/>
              </w:rPr>
              <w:t xml:space="preserve">About this booklet:</w:t>
            </w:r>
          </w:p>
          <w:p>
            <w:pPr>
              <w:spacing w:after="60" w:before="60"/>
              <w:jc w:val="left"/>
            </w:pPr>
            <w:r>
              <w:rPr>
                <w:rFonts w:ascii="Calibri" w:cs="Calibri" w:eastAsia="Calibri" w:hAnsi="Calibri"/>
                <w:b w:val="false"/>
                <w:bCs w:val="false"/>
                <w:color w:val="082836"/>
                <w:sz w:val="20"/>
                <w:szCs w:val="20"/>
              </w:rPr>
              <w:t xml:space="preserve">This booklet covers AQA Paper 1, Section A (spec ref. 3.1.1): </w:t>
            </w:r>
            <w:r>
              <w:rPr>
                <w:rFonts w:ascii="Calibri" w:cs="Calibri" w:eastAsia="Calibri" w:hAnsi="Calibri"/>
                <w:b/>
                <w:bCs/>
                <w:color w:val="1B4F8A"/>
                <w:sz w:val="20"/>
                <w:szCs w:val="20"/>
              </w:rPr>
              <w:t xml:space="preserve">the cardiovascular system</w:t>
            </w:r>
            <w:r>
              <w:rPr>
                <w:rFonts w:ascii="Calibri" w:cs="Calibri" w:eastAsia="Calibri" w:hAnsi="Calibri"/>
                <w:b w:val="false"/>
                <w:bCs w:val="false"/>
                <w:color w:val="082836"/>
                <w:sz w:val="20"/>
                <w:szCs w:val="20"/>
              </w:rPr>
              <w:t xml:space="preserve"> and </w:t>
            </w:r>
            <w:r>
              <w:rPr>
                <w:rFonts w:ascii="Calibri" w:cs="Calibri" w:eastAsia="Calibri" w:hAnsi="Calibri"/>
                <w:b/>
                <w:bCs/>
                <w:color w:val="1B4F8A"/>
                <w:sz w:val="20"/>
                <w:szCs w:val="20"/>
              </w:rPr>
              <w:t xml:space="preserve">the musculo-skeletal system</w:t>
            </w:r>
            <w:r>
              <w:rPr>
                <w:rFonts w:ascii="Calibri" w:cs="Calibri" w:eastAsia="Calibri" w:hAnsi="Calibri"/>
                <w:b w:val="false"/>
                <w:bCs w:val="false"/>
                <w:color w:val="082836"/>
                <w:sz w:val="20"/>
                <w:szCs w:val="20"/>
              </w:rPr>
              <w:t xml:space="preserve">. All tasks are designed to be completed </w:t>
            </w:r>
            <w:r>
              <w:rPr>
                <w:rFonts w:ascii="Calibri" w:cs="Calibri" w:eastAsia="Calibri" w:hAnsi="Calibri"/>
                <w:b/>
                <w:bCs/>
                <w:color w:val="082836"/>
                <w:sz w:val="20"/>
                <w:szCs w:val="20"/>
              </w:rPr>
              <w:t xml:space="preserve">independently at home</w:t>
            </w:r>
            <w:r>
              <w:rPr>
                <w:rFonts w:ascii="Calibri" w:cs="Calibri" w:eastAsia="Calibri" w:hAnsi="Calibri"/>
                <w:b w:val="false"/>
                <w:bCs w:val="false"/>
                <w:color w:val="082836"/>
                <w:sz w:val="20"/>
                <w:szCs w:val="20"/>
              </w:rPr>
              <w:t xml:space="preserve"> — no partner or teacher required. Work through the sections in order and aim for approximately 1 hour total. Submit by the end of Week 2 in September.</w:t>
            </w:r>
          </w:p>
        </w:tc>
      </w:tr>
    </w:tbl>
    <w:p>
      <w:pPr>
        <w:spacing w:after="60" w:before="60"/>
        <w:jc w:val="left"/>
      </w:pPr>
      <w:r>
        <w:rPr>
          <w:rFonts w:ascii="Calibri" w:cs="Calibri" w:eastAsia="Calibri" w:hAnsi="Calibri"/>
          <w:b w:val="false"/>
          <w:bCs w:val="false"/>
          <w:color w:val="082836"/>
          <w:sz w:val="12"/>
          <w:szCs w:val="1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304800" cy="304800"/>
                  <wp:effectExtent t="0" r="0" b="0" l="0"/>
                  <wp:docPr id="1" name="reading" descr="reading" title="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 cy="304800"/>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4"/>
                <w:szCs w:val="24"/>
              </w:rPr>
              <w:t xml:space="preserve">SECTION 1  —  READ — The Cardiovascular System</w:t>
            </w:r>
          </w:p>
        </w:tc>
      </w:tr>
    </w:tbl>
    <w:p>
      <w:pPr>
        <w:spacing w:after="60" w:before="60"/>
        <w:jc w:val="left"/>
      </w:pPr>
      <w:r>
        <w:rPr>
          <w:rFonts w:ascii="Calibri" w:cs="Calibri" w:eastAsia="Calibri" w:hAnsi="Calibri"/>
          <w:b w:val="false"/>
          <w:bCs w:val="false"/>
          <w:color w:val="082836"/>
          <w:sz w:val="6"/>
          <w:szCs w:val="6"/>
        </w:rPr>
        <w:t xml:space="preserve"/>
      </w:r>
    </w:p>
    <w:p>
      <w:pPr>
        <w:spacing w:after="80" w:before="60"/>
        <w:jc w:val="left"/>
      </w:pPr>
      <w:r>
        <w:rPr>
          <w:rFonts w:ascii="Calibri" w:cs="Calibri" w:eastAsia="Calibri" w:hAnsi="Calibri"/>
          <w:b w:val="false"/>
          <w:bCs w:val="false"/>
          <w:color w:val="555555"/>
          <w:sz w:val="20"/>
          <w:szCs w:val="20"/>
        </w:rPr>
        <w:t xml:space="preserve">Read the passage below carefully. Underline any terms you do not recognise. You will need this information for every task in Section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4"/>
              <w:left w:val="single" w:color="1B4F8A" w:sz="4"/>
              <w:bottom w:val="single" w:color="1B4F8A" w:sz="4"/>
              <w:right w:val="single" w:color="1B4F8A" w:sz="4"/>
            </w:tcBorders>
            <w:shd w:fill="EEF3FB" w:val="clear"/>
            <w:tcMar>
              <w:top w:type="dxa" w:w="120"/>
              <w:left w:type="dxa" w:w="220"/>
              <w:bottom w:type="dxa" w:w="120"/>
              <w:right w:type="dxa" w:w="220"/>
            </w:tcMar>
          </w:tcPr>
          <w:p>
            <w:pPr>
              <w:spacing w:after="80" w:before="80"/>
              <w:jc w:val="left"/>
            </w:pPr>
            <w:r>
              <w:rPr>
                <w:rFonts w:ascii="Calibri" w:cs="Calibri" w:eastAsia="Calibri" w:hAnsi="Calibri"/>
                <w:b/>
                <w:bCs/>
                <w:color w:val="1B4F8A"/>
                <w:sz w:val="22"/>
                <w:szCs w:val="22"/>
              </w:rPr>
              <w:t xml:space="preserve">The Cardiovascular System at A Level</w:t>
            </w:r>
          </w:p>
          <w:p>
            <w:pPr>
              <w:spacing w:after="80" w:before="60"/>
              <w:jc w:val="left"/>
            </w:pPr>
            <w:r>
              <w:rPr>
                <w:rFonts w:ascii="Calibri" w:cs="Calibri" w:eastAsia="Calibri" w:hAnsi="Calibri"/>
                <w:b w:val="false"/>
                <w:bCs w:val="false"/>
                <w:color w:val="082836"/>
                <w:sz w:val="20"/>
                <w:szCs w:val="20"/>
              </w:rPr>
              <w:t xml:space="preserve">At GCSE you learned the basic structure of the heart and how blood circulates. At A Level you are expected to understand this in much greater depth, including how and why the cardiovascular system changes during exercise.</w:t>
            </w:r>
          </w:p>
          <w:p>
            <w:pPr>
              <w:spacing w:after="80" w:before="60"/>
              <w:jc w:val="left"/>
            </w:pPr>
            <w:r>
              <w:rPr>
                <w:rFonts w:ascii="Calibri" w:cs="Calibri" w:eastAsia="Calibri" w:hAnsi="Calibri"/>
                <w:b w:val="false"/>
                <w:bCs w:val="false"/>
                <w:color w:val="082836"/>
                <w:sz w:val="20"/>
                <w:szCs w:val="20"/>
              </w:rPr>
              <w:t xml:space="preserve">Cardiac output (Q) is the total volume of blood pumped out of the heart per minute. It is calculated using the formula: Q = Stroke Volume (SV) × Heart Rate (HR). At rest, a typical adult has a heart rate of ~70 beats per minute (bpm) and a stroke volume of ~70 ml, giving a cardiac output of approximately 5 litres per minute. During maximal exercise, a trained athlete can reach 20–25 litres per minute.</w:t>
            </w:r>
          </w:p>
          <w:p>
            <w:pPr>
              <w:spacing w:after="80" w:before="60"/>
              <w:jc w:val="left"/>
            </w:pPr>
            <w:r>
              <w:rPr>
                <w:rFonts w:ascii="Calibri" w:cs="Calibri" w:eastAsia="Calibri" w:hAnsi="Calibri"/>
                <w:b w:val="false"/>
                <w:bCs w:val="false"/>
                <w:color w:val="082836"/>
                <w:sz w:val="20"/>
                <w:szCs w:val="20"/>
              </w:rPr>
              <w:t xml:space="preserve">Starling's Law of the Heart explains why stroke volume increases during exercise. It states that the force of cardiac contraction is directly proportional to the degree of ventricular filling during diastole (the relaxation phase). As exercise intensity increases, more blood returns to the heart via the veins (increased venous return). This stretches the ventricular walls, causing a more powerful contraction and therefore a higher stroke volume — even without any change in heart rate.</w:t>
            </w:r>
          </w:p>
          <w:p>
            <w:pPr>
              <w:spacing w:after="80" w:before="60"/>
              <w:jc w:val="left"/>
            </w:pPr>
            <w:r>
              <w:rPr>
                <w:rFonts w:ascii="Calibri" w:cs="Calibri" w:eastAsia="Calibri" w:hAnsi="Calibri"/>
                <w:b w:val="false"/>
                <w:bCs w:val="false"/>
                <w:color w:val="082836"/>
                <w:sz w:val="20"/>
                <w:szCs w:val="20"/>
              </w:rPr>
              <w:t xml:space="preserve">Vascular shunting is the redistribution of blood to working muscles during exercise. Precapillary sphincters — small rings of muscle around the capillaries — dilate in active muscles (vasodilation), increasing blood flow. At the same time they constrict in organs not essential during exercise, such as the digestive system (vasoconstriction). During intense exercise, working muscles receive up to 85% of total cardiac output, compared to just 15–20% at rest.</w:t>
            </w:r>
          </w:p>
          <w:p>
            <w:pPr>
              <w:spacing w:after="60" w:before="60"/>
              <w:jc w:val="left"/>
            </w:pPr>
            <w:r>
              <w:rPr>
                <w:rFonts w:ascii="Calibri" w:cs="Calibri" w:eastAsia="Calibri" w:hAnsi="Calibri"/>
                <w:b w:val="false"/>
                <w:bCs w:val="false"/>
                <w:color w:val="082836"/>
                <w:sz w:val="20"/>
                <w:szCs w:val="20"/>
              </w:rPr>
              <w:t xml:space="preserve">The anticipatory rise is an increase in heart rate that happens before exercise even begins. It is triggered by the release of adrenaline from the adrenal medulla (a hormonal response) and by nerve signals from the motor cortex of the brain in anticipation of physical activity. You can observe this clearly in elite sprinters, whose heart rate rises noticeably while they are waiting on the start blocks — before a single step has been taken.</w:t>
            </w:r>
          </w:p>
        </w:tc>
      </w:tr>
    </w:tbl>
    <w:p>
      <w:pPr>
        <w:spacing w:after="60" w:before="60"/>
        <w:jc w:val="left"/>
      </w:pPr>
      <w:r>
        <w:rPr>
          <w:rFonts w:ascii="Calibri" w:cs="Calibri" w:eastAsia="Calibri" w:hAnsi="Calibri"/>
          <w:b w:val="false"/>
          <w:bCs w:val="false"/>
          <w:color w:val="082836"/>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reading" descr="reading" title="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1 — Reading Comprehension  |  Answer in full sentences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100" w:before="60"/>
              <w:jc w:val="left"/>
            </w:pPr>
            <w:r>
              <w:rPr>
                <w:rFonts w:ascii="Calibri" w:cs="Calibri" w:eastAsia="Calibri" w:hAnsi="Calibri"/>
                <w:b w:val="false"/>
                <w:bCs w:val="false"/>
                <w:color w:val="555555"/>
                <w:sz w:val="20"/>
                <w:szCs w:val="20"/>
              </w:rPr>
              <w:t xml:space="preserve">Use the reading passage above to answer each question. Write in full sentences and use correct AQA terminology throughout.</w:t>
            </w:r>
          </w:p>
          <w:p>
            <w:pPr>
              <w:spacing w:after="80" w:before="60"/>
              <w:jc w:val="left"/>
            </w:pPr>
            <w:r>
              <w:rPr>
                <w:rFonts w:ascii="Calibri" w:cs="Calibri" w:eastAsia="Calibri" w:hAnsi="Calibri"/>
                <w:b/>
                <w:bCs/>
                <w:color w:val="082836"/>
                <w:sz w:val="20"/>
                <w:szCs w:val="20"/>
              </w:rPr>
              <w:t xml:space="preserve">1.1  State the formula for cardiac output. Calculate Q for an individual with HR = 72 bpm and SV = 68 ml. Show your working.</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spacing w:after="80" w:before="120"/>
              <w:jc w:val="left"/>
            </w:pPr>
            <w:r>
              <w:rPr>
                <w:rFonts w:ascii="Calibri" w:cs="Calibri" w:eastAsia="Calibri" w:hAnsi="Calibri"/>
                <w:b/>
                <w:bCs/>
                <w:color w:val="082836"/>
                <w:sz w:val="20"/>
                <w:szCs w:val="20"/>
              </w:rPr>
              <w:t xml:space="preserve">1.2  Explain Starling's Law of the Heart. In your answer, refer to venous return, ventricular filling and stroke volume.</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spacing w:after="80" w:before="120"/>
              <w:jc w:val="left"/>
            </w:pPr>
            <w:r>
              <w:rPr>
                <w:rFonts w:ascii="Calibri" w:cs="Calibri" w:eastAsia="Calibri" w:hAnsi="Calibri"/>
                <w:b/>
                <w:bCs/>
                <w:color w:val="082836"/>
                <w:sz w:val="20"/>
                <w:szCs w:val="20"/>
              </w:rPr>
              <w:t xml:space="preserve">1.3  Describe the process of vascular shunting. Explain why it is essential during vigorous exercise.</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spacing w:after="80" w:before="120"/>
              <w:jc w:val="left"/>
            </w:pPr>
            <w:r>
              <w:rPr>
                <w:rFonts w:ascii="Calibri" w:cs="Calibri" w:eastAsia="Calibri" w:hAnsi="Calibri"/>
                <w:b/>
                <w:bCs/>
                <w:color w:val="082836"/>
                <w:sz w:val="20"/>
                <w:szCs w:val="20"/>
              </w:rPr>
              <w:t xml:space="preserve">1.4  Define the anticipatory rise. Identify TWO causes — one hormonal and one neural.</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tc>
      </w:tr>
    </w:tbl>
    <w:p>
      <w:pPr>
        <w:spacing w:after="60" w:before="60"/>
        <w:jc w:val="left"/>
      </w:pPr>
      <w:r>
        <w:rPr>
          <w:rFonts w:ascii="Calibri" w:cs="Calibri" w:eastAsia="Calibri" w:hAnsi="Calibri"/>
          <w:b w:val="false"/>
          <w:bCs w:val="false"/>
          <w:color w:val="082836"/>
          <w:sz w:val="6"/>
          <w:szCs w:val="6"/>
        </w:rPr>
        <w:t xml:space="preserve"/>
      </w:r>
    </w:p>
    <w:p>
      <w:pPr>
        <w:spacing w:after="60" w:before="60"/>
        <w:jc w:val="left"/>
      </w:pPr>
      <w:r>
        <w:rPr>
          <w:rFonts w:ascii="Calibri" w:cs="Calibri" w:eastAsia="Calibri" w:hAnsi="Calibri"/>
          <w:b w:val="false"/>
          <w:bCs w:val="false"/>
          <w:color w:val="082836"/>
          <w:sz w:val="10"/>
          <w:szCs w:val="1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304800" cy="304800"/>
                  <wp:effectExtent t="0" r="0" b="0" l="0"/>
                  <wp:docPr id="1" name="vocabulary" descr="vocabulary" title="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4800" cy="304800"/>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4"/>
                <w:szCs w:val="24"/>
              </w:rPr>
              <w:t xml:space="preserve">SECTION 2  —  VOCABULARY — Key Terms to Learn</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vocabulary" descr="vocabulary" title="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2 — Complete the Key Terms Table  |  Write definitions in your own words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80" w:before="60"/>
              <w:jc w:val="left"/>
            </w:pPr>
            <w:r>
              <w:rPr>
                <w:rFonts w:ascii="Calibri" w:cs="Calibri" w:eastAsia="Calibri" w:hAnsi="Calibri"/>
                <w:b w:val="false"/>
                <w:bCs w:val="false"/>
                <w:color w:val="555555"/>
                <w:sz w:val="20"/>
                <w:szCs w:val="20"/>
              </w:rPr>
              <w:t xml:space="preserve">Fill in every empty cell. Use the reading passage for Section 1 terms; use your GCSE knowledge and research for the muscle fibre terms in the lower rows. The pre-filled rows show the expected level of detail.</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9"/>
        <w:gridCol w:w="6017"/>
      </w:tblGrid>
      <w:tr>
        <w:trPr>
          <w:tblHeader/>
        </w:trPr>
        <w:tc>
          <w:tcPr>
            <w:tcW w:type="dxa" w:w="3009"/>
            <w:tcBorders>
              <w:top w:val="single" w:color="1B4F8A" w:sz="2"/>
              <w:left w:val="single" w:color="1B4F8A" w:sz="2"/>
              <w:bottom w:val="single" w:color="1B4F8A" w:sz="2"/>
              <w:right w:val="single" w:color="1B4F8A" w:sz="2"/>
            </w:tcBorders>
            <w:shd w:fill="1B4F8A" w:val="clear"/>
            <w:tcMar>
              <w:top w:type="dxa" w:w="80"/>
              <w:left w:type="dxa" w:w="120"/>
              <w:bottom w:type="dxa" w:w="80"/>
              <w:right w:type="dxa" w:w="120"/>
            </w:tcMar>
          </w:tcPr>
          <w:p>
            <w:pPr>
              <w:spacing w:after="80" w:before="80"/>
              <w:jc w:val="left"/>
            </w:pPr>
            <w:r>
              <w:rPr>
                <w:rFonts w:ascii="Calibri" w:cs="Calibri" w:eastAsia="Calibri" w:hAnsi="Calibri"/>
                <w:b/>
                <w:bCs/>
                <w:color w:val="FFFFFF"/>
                <w:sz w:val="20"/>
                <w:szCs w:val="20"/>
              </w:rPr>
              <w:t xml:space="preserve">Key Term</w:t>
            </w:r>
          </w:p>
        </w:tc>
        <w:tc>
          <w:tcPr>
            <w:tcW w:type="dxa" w:w="6017"/>
            <w:tcBorders>
              <w:top w:val="single" w:color="1B4F8A" w:sz="2"/>
              <w:left w:val="single" w:color="1B4F8A" w:sz="2"/>
              <w:bottom w:val="single" w:color="1B4F8A" w:sz="2"/>
              <w:right w:val="single" w:color="1B4F8A" w:sz="2"/>
            </w:tcBorders>
            <w:shd w:fill="1B4F8A" w:val="clear"/>
            <w:tcMar>
              <w:top w:type="dxa" w:w="80"/>
              <w:left w:type="dxa" w:w="120"/>
              <w:bottom w:type="dxa" w:w="80"/>
              <w:right w:type="dxa" w:w="120"/>
            </w:tcMar>
          </w:tcPr>
          <w:p>
            <w:pPr>
              <w:spacing w:after="80" w:before="80"/>
              <w:jc w:val="left"/>
            </w:pPr>
            <w:r>
              <w:rPr>
                <w:rFonts w:ascii="Calibri" w:cs="Calibri" w:eastAsia="Calibri" w:hAnsi="Calibri"/>
                <w:b/>
                <w:bCs/>
                <w:color w:val="FFFFFF"/>
                <w:sz w:val="20"/>
                <w:szCs w:val="20"/>
              </w:rPr>
              <w:t xml:space="preserve">Definition / Explanation</w:t>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Cardiac output (Q)</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Stroke volume (SV)</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Volume of blood ejected from one ventricle with each heartbeat (~70 ml at rest)</w:t>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Heart rate (HR)</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Starling's Law of the Heart</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Venous return</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Vascular shunting</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Vasodilation</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Widening of a blood vessel — increases blood flow to that region</w:t>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Vasoconstriction</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Anticipatory rise</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Slow twitch (Type I) fibres</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r>
        <w:tc>
          <w:tcPr>
            <w:tcW w:type="dxa" w:w="3009"/>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Fast oxidative glycolytic (Type IIa)</w:t>
            </w:r>
          </w:p>
        </w:tc>
        <w:tc>
          <w:tcPr>
            <w:tcW w:type="dxa" w:w="6017"/>
            <w:tcBorders>
              <w:top w:val="single" w:color="CCCCCC" w:sz="2"/>
              <w:left w:val="single" w:color="CCCCCC" w:sz="2"/>
              <w:bottom w:val="single" w:color="CCCCCC" w:sz="2"/>
              <w:right w:val="single" w:color="CCCCCC" w:sz="2"/>
            </w:tcBorders>
            <w:shd w:fill="F4F4F4"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Contract at moderate speed; moderately fatigue-resistant; used in middle-distance events</w:t>
            </w:r>
          </w:p>
        </w:tc>
      </w:tr>
      <w:tr>
        <w:tc>
          <w:tcPr>
            <w:tcW w:type="dxa" w:w="3009"/>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bCs/>
                <w:color w:val="082836"/>
                <w:sz w:val="20"/>
                <w:szCs w:val="20"/>
              </w:rPr>
              <w:t xml:space="preserve">Fast glycolytic (Type IIx) fibres</w:t>
            </w:r>
          </w:p>
        </w:tc>
        <w:tc>
          <w:tcPr>
            <w:tcW w:type="dxa" w:w="6017"/>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082836"/>
                <w:sz w:val="20"/>
                <w:szCs w:val="20"/>
              </w:rPr>
              <w:t xml:space="preserve"/>
            </w:r>
          </w:p>
        </w:tc>
      </w:tr>
    </w:tbl>
    <w:p>
      <w:pPr>
        <w:spacing w:after="60" w:before="60"/>
        <w:jc w:val="left"/>
      </w:pPr>
      <w:r>
        <w:rPr>
          <w:rFonts w:ascii="Calibri" w:cs="Calibri" w:eastAsia="Calibri" w:hAnsi="Calibri"/>
          <w:b w:val="false"/>
          <w:bCs w:val="false"/>
          <w:color w:val="082836"/>
          <w:sz w:val="10"/>
          <w:szCs w:val="1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304800" cy="304800"/>
                  <wp:effectExtent t="0" r="0" b="0" l="0"/>
                  <wp:docPr id="1" name="recall" descr="recall" title="re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4800" cy="304800"/>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4"/>
                <w:szCs w:val="24"/>
              </w:rPr>
              <w:t xml:space="preserve">SECTION 3  —  WATCH — Videos to Support Your Learning</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recall" descr="recall" title="re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3 — Watch the videos, then answer the questions independently</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40" w:before="60"/>
              <w:jc w:val="left"/>
            </w:pPr>
            <w:r>
              <w:rPr>
                <w:rFonts w:ascii="Calibri" w:cs="Calibri" w:eastAsia="Calibri" w:hAnsi="Calibri"/>
                <w:b/>
                <w:bCs/>
                <w:color w:val="082836"/>
                <w:sz w:val="20"/>
                <w:szCs w:val="20"/>
              </w:rPr>
              <w:t xml:space="preserve">Video 1 — 'Crash Course: The Heart' </w:t>
            </w:r>
            <w:hyperlink w:history="1" r:id="rIdm358cmuujjsduzz5932aw">
              <w:r>
                <w:rPr>
                  <w:rFonts w:ascii="Calibri" w:cs="Calibri" w:eastAsia="Calibri" w:hAnsi="Calibri"/>
                  <w:color w:val="007D7A"/>
                  <w:sz w:val="20"/>
                  <w:szCs w:val="20"/>
                  <w:u w:val="single"/>
                </w:rPr>
                <w:t xml:space="preserve">youtube.com/watch?v=X9ZZ6tcxArI</w:t>
              </w:r>
            </w:hyperlink>
          </w:p>
          <w:p>
            <w:pPr>
              <w:spacing w:after="80" w:before="60"/>
              <w:jc w:val="left"/>
            </w:pPr>
            <w:r>
              <w:rPr>
                <w:rFonts w:ascii="Calibri" w:cs="Calibri" w:eastAsia="Calibri" w:hAnsi="Calibri"/>
                <w:b/>
                <w:bCs/>
                <w:color w:val="082836"/>
                <w:sz w:val="20"/>
                <w:szCs w:val="20"/>
              </w:rPr>
              <w:t xml:space="preserve">Video 2 — 'Muscle Fibre Types Explained (A Level PE)' </w:t>
            </w:r>
            <w:hyperlink w:history="1" r:id="rId4qwszqmty3kethjyznsls">
              <w:r>
                <w:rPr>
                  <w:rFonts w:ascii="Calibri" w:cs="Calibri" w:eastAsia="Calibri" w:hAnsi="Calibri"/>
                  <w:color w:val="007D7A"/>
                  <w:sz w:val="20"/>
                  <w:szCs w:val="20"/>
                  <w:u w:val="single"/>
                </w:rPr>
                <w:t xml:space="preserve">youtube.com/watch?v=2pECd3DRIcc</w:t>
              </w:r>
            </w:hyperlink>
          </w:p>
          <w:p>
            <w:pPr>
              <w:spacing w:after="100" w:before="60"/>
              <w:jc w:val="left"/>
            </w:pPr>
            <w:r>
              <w:rPr>
                <w:rFonts w:ascii="Calibri" w:cs="Calibri" w:eastAsia="Calibri" w:hAnsi="Calibri"/>
                <w:b w:val="false"/>
                <w:bCs w:val="false"/>
                <w:color w:val="555555"/>
                <w:sz w:val="20"/>
                <w:szCs w:val="20"/>
              </w:rPr>
              <w:t xml:space="preserve">Watch both videos fully before answering. Pause and re-watch sections if needed — there is no time pressure.</w:t>
            </w:r>
          </w:p>
          <w:p>
            <w:pPr>
              <w:spacing w:after="80" w:before="60"/>
              <w:jc w:val="left"/>
            </w:pPr>
            <w:r>
              <w:rPr>
                <w:rFonts w:ascii="Calibri" w:cs="Calibri" w:eastAsia="Calibri" w:hAnsi="Calibri"/>
                <w:b/>
                <w:bCs/>
                <w:color w:val="082836"/>
                <w:sz w:val="20"/>
                <w:szCs w:val="20"/>
              </w:rPr>
              <w:t xml:space="preserve">3.1  Using Video 1 — Describe what happens to HR, SV and cardiac output as exercise intensity increases from rest to maximal effort. Use specific values where possible.</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spacing w:after="80" w:before="120"/>
              <w:jc w:val="left"/>
            </w:pPr>
            <w:r>
              <w:rPr>
                <w:rFonts w:ascii="Calibri" w:cs="Calibri" w:eastAsia="Calibri" w:hAnsi="Calibri"/>
                <w:b/>
                <w:bCs/>
                <w:color w:val="082836"/>
                <w:sz w:val="20"/>
                <w:szCs w:val="20"/>
              </w:rPr>
              <w:t xml:space="preserve">3.2  Using Video 2 — Complete the muscle fibre comparison table. Use only information from the video (you can check your answers against your key terms table).</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175"/>
        <w:gridCol w:w="2175"/>
        <w:gridCol w:w="2276"/>
      </w:tblGrid>
      <w:tr>
        <w:trPr>
          <w:tblHeader/>
        </w:trPr>
        <w:tc>
          <w:tcPr>
            <w:tcW w:type="dxa" w:w="2400"/>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Muscle Fibre Type</w:t>
            </w:r>
          </w:p>
        </w:tc>
        <w:tc>
          <w:tcPr>
            <w:tcW w:type="dxa" w:w="2175"/>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Fatigue resistance (High/Med/Low)</w:t>
            </w:r>
          </w:p>
        </w:tc>
        <w:tc>
          <w:tcPr>
            <w:tcW w:type="dxa" w:w="2175"/>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Primary energy source</w:t>
            </w:r>
          </w:p>
        </w:tc>
        <w:tc>
          <w:tcPr>
            <w:tcW w:type="dxa" w:w="2276"/>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Example sport / activity</w:t>
            </w:r>
          </w:p>
        </w:tc>
      </w:tr>
      <w:tr>
        <w:trPr>
          <w:tblHeader w:val="false"/>
        </w:trPr>
        <w:tc>
          <w:tcPr>
            <w:tcW w:type="dxa" w:w="24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Slow twitch (Type I)</w:t>
            </w:r>
          </w:p>
        </w:tc>
        <w:tc>
          <w:tcPr>
            <w:tcW w:type="dxa" w:w="217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175"/>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276"/>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24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Fast oxidative glycolytic (IIa)</w:t>
            </w:r>
          </w:p>
        </w:tc>
        <w:tc>
          <w:tcPr>
            <w:tcW w:type="dxa" w:w="217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175"/>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276"/>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24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Fast glycolytic (IIx)</w:t>
            </w:r>
          </w:p>
        </w:tc>
        <w:tc>
          <w:tcPr>
            <w:tcW w:type="dxa" w:w="217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175"/>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2276"/>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bl>
    <w:p>
      <w:pPr>
        <w:spacing w:after="60" w:before="60"/>
        <w:jc w:val="left"/>
      </w:pPr>
      <w:r>
        <w:rPr>
          <w:rFonts w:ascii="Calibri" w:cs="Calibri" w:eastAsia="Calibri" w:hAnsi="Calibri"/>
          <w:b w:val="false"/>
          <w:bCs w:val="false"/>
          <w:color w:val="082836"/>
          <w:sz w:val="10"/>
          <w:szCs w:val="1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304800" cy="304800"/>
                  <wp:effectExtent t="0" r="0" b="0" l="0"/>
                  <wp:docPr id="1" name="indep" descr="indep" title="in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04800" cy="304800"/>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4"/>
                <w:szCs w:val="24"/>
              </w:rPr>
              <w:t xml:space="preserve">SECTION 4  —  APPLY — Movement Analysis &amp; Extended Writing</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indep" descr="indep" title="in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4 — Movement Analysis  |  Independent written task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80" w:before="60"/>
              <w:jc w:val="left"/>
            </w:pPr>
            <w:r>
              <w:rPr>
                <w:rFonts w:ascii="Calibri" w:cs="Calibri" w:eastAsia="Calibri" w:hAnsi="Calibri"/>
                <w:b w:val="false"/>
                <w:bCs w:val="false"/>
                <w:color w:val="082836"/>
                <w:sz w:val="20"/>
                <w:szCs w:val="20"/>
              </w:rPr>
              <w:t xml:space="preserve">Choose ONE sporting action that you perform or know well (e.g. a squat, bicep curl, football kick, overhead throw, or cycling pedal stroke). Complete the table for BOTH phases of the movement.</w:t>
            </w:r>
          </w:p>
          <w:p>
            <w:pPr>
              <w:spacing w:after="80" w:before="60"/>
              <w:jc w:val="left"/>
            </w:pPr>
            <w:r>
              <w:rPr>
                <w:rFonts w:ascii="Calibri" w:cs="Calibri" w:eastAsia="Calibri" w:hAnsi="Calibri"/>
                <w:b/>
                <w:bCs/>
                <w:color w:val="082836"/>
                <w:sz w:val="20"/>
                <w:szCs w:val="20"/>
              </w:rPr>
              <w:t xml:space="preserve">My chosen sporting action: _______________________________________________</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13"/>
        <w:gridCol w:w="3013"/>
      </w:tblGrid>
      <w:tr>
        <w:trPr>
          <w:tblHeader/>
        </w:trPr>
        <w:tc>
          <w:tcPr>
            <w:tcW w:type="dxa" w:w="3000"/>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Component</w:t>
            </w:r>
          </w:p>
        </w:tc>
        <w:tc>
          <w:tcPr>
            <w:tcW w:type="dxa" w:w="3013"/>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Phase 1 (e.g. upward / concentric)</w:t>
            </w:r>
          </w:p>
        </w:tc>
        <w:tc>
          <w:tcPr>
            <w:tcW w:type="dxa" w:w="3013"/>
            <w:tcBorders>
              <w:top w:val="single" w:color="CCCCCC" w:sz="2"/>
              <w:left w:val="single" w:color="CCCCCC" w:sz="2"/>
              <w:bottom w:val="single" w:color="CCCCCC" w:sz="2"/>
              <w:right w:val="single" w:color="CCCCCC" w:sz="2"/>
            </w:tcBorders>
            <w:shd w:fill="1B4F8A" w:val="clear"/>
            <w:tcMar>
              <w:top w:type="dxa" w:w="80"/>
              <w:left w:type="dxa" w:w="100"/>
              <w:bottom w:type="dxa" w:w="80"/>
              <w:right w:type="dxa" w:w="100"/>
            </w:tcMar>
          </w:tcPr>
          <w:p>
            <w:pPr>
              <w:spacing w:after="80" w:before="80"/>
            </w:pPr>
            <w:r>
              <w:rPr>
                <w:rFonts w:ascii="Calibri" w:cs="Calibri" w:eastAsia="Calibri" w:hAnsi="Calibri"/>
                <w:b/>
                <w:bCs/>
                <w:color w:val="FFFFFF"/>
                <w:sz w:val="20"/>
                <w:szCs w:val="20"/>
              </w:rPr>
              <w:t xml:space="preserve">Phase 2 (e.g. downward / eccentric)</w:t>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Joint involved</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Joint action (e.g. flexion, extension)</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Agonist (prime mover)</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Antagonist</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Type of muscular contraction</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Plane of movement</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r>
        <w:trPr>
          <w:tblHeader w:val="false"/>
        </w:trPr>
        <w:tc>
          <w:tcPr>
            <w:tcW w:type="dxa" w:w="3000"/>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Axis of rotation</w:t>
            </w:r>
          </w:p>
        </w:tc>
        <w:tc>
          <w:tcPr>
            <w:tcW w:type="dxa" w:w="301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c>
          <w:tcPr>
            <w:tcW w:type="dxa" w:w="3013"/>
            <w:tcBorders>
              <w:top w:val="single" w:color="CCCCCC" w:sz="2"/>
              <w:left w:val="single" w:color="CCCCCC" w:sz="2"/>
              <w:bottom w:val="single" w:color="CCCCCC" w:sz="2"/>
              <w:right w:val="single" w:color="CCCCCC" w:sz="2"/>
            </w:tcBorders>
            <w:shd w:fill="F4F4F4" w:val="clear"/>
            <w:tcMar>
              <w:top w:type="dxa" w:w="80"/>
              <w:left w:type="dxa" w:w="100"/>
              <w:bottom w:type="dxa" w:w="80"/>
              <w:right w:type="dxa" w:w="100"/>
            </w:tcMar>
          </w:tcPr>
          <w:p>
            <w:pPr>
              <w:spacing w:after="80" w:before="220"/>
            </w:pPr>
            <w:r>
              <w:rPr>
                <w:rFonts w:ascii="Calibri" w:cs="Calibri" w:eastAsia="Calibri" w:hAnsi="Calibri"/>
                <w:b w:val="false"/>
                <w:bCs w:val="false"/>
                <w:color w:val="082836"/>
                <w:sz w:val="22"/>
                <w:szCs w:val="22"/>
              </w:rPr>
              <w:t xml:space="preserve"/>
            </w:r>
          </w:p>
        </w:tc>
      </w:tr>
    </w:tbl>
    <w:p>
      <w:pPr>
        <w:spacing w:after="60" w:before="60"/>
        <w:jc w:val="left"/>
      </w:pPr>
      <w:r>
        <w:rPr>
          <w:rFonts w:ascii="Calibri" w:cs="Calibri" w:eastAsia="Calibri" w:hAnsi="Calibri"/>
          <w:b w:val="false"/>
          <w:bCs w:val="false"/>
          <w:color w:val="082836"/>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indep" descr="indep" title="in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5 — AQA Extended Question  |  6 marks  |  Write continuously, not in bullet points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80" w:before="60"/>
              <w:jc w:val="left"/>
            </w:pPr>
            <w:r>
              <w:rPr>
                <w:rFonts w:ascii="Calibri" w:cs="Calibri" w:eastAsia="Calibri" w:hAnsi="Calibri"/>
                <w:b/>
                <w:bCs/>
                <w:color w:val="082836"/>
                <w:sz w:val="20"/>
                <w:szCs w:val="20"/>
              </w:rPr>
              <w:t xml:space="preserve">Using your knowledge of the cardiovascular system, explain how cardiac output changes from rest to maximal exercise and discuss the mechanisms responsible for this change.  [6 marks]</w:t>
            </w:r>
          </w:p>
          <w:p>
            <w:pPr>
              <w:spacing w:after="80" w:before="60"/>
              <w:jc w:val="left"/>
            </w:pPr>
            <w:r>
              <w:rPr>
                <w:rFonts w:ascii="Calibri" w:cs="Calibri" w:eastAsia="Calibri" w:hAnsi="Calibri"/>
                <w:b w:val="false"/>
                <w:bCs w:val="false"/>
                <w:color w:val="555555"/>
                <w:sz w:val="18"/>
                <w:szCs w:val="18"/>
              </w:rPr>
              <w:t xml:space="preserve">Planning notes — include: Q = SV × HR | values at rest and during exercise | Starling's Law | venous return | anticipatory rise | adrenaline | vascular shunting</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tc>
      </w:tr>
    </w:tbl>
    <w:p>
      <w:pPr>
        <w:spacing w:after="60" w:before="60"/>
        <w:jc w:val="left"/>
      </w:pPr>
      <w:r>
        <w:rPr>
          <w:rFonts w:ascii="Calibri" w:cs="Calibri" w:eastAsia="Calibri" w:hAnsi="Calibri"/>
          <w:b w:val="false"/>
          <w:bCs w:val="false"/>
          <w:color w:val="082836"/>
          <w:sz w:val="6"/>
          <w:szCs w:val="6"/>
        </w:rPr>
        <w:t xml:space="preserve"/>
      </w:r>
    </w:p>
    <w:p>
      <w:pPr>
        <w:spacing w:after="60" w:before="60"/>
        <w:jc w:val="left"/>
      </w:pPr>
      <w:r>
        <w:rPr>
          <w:rFonts w:ascii="Calibri" w:cs="Calibri" w:eastAsia="Calibri" w:hAnsi="Calibri"/>
          <w:b w:val="false"/>
          <w:bCs w:val="false"/>
          <w:color w:val="082836"/>
          <w:sz w:val="10"/>
          <w:szCs w:val="1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304800" cy="304800"/>
                  <wp:effectExtent t="0" r="0" b="0" l="0"/>
                  <wp:docPr id="1" name="challenge" descr="challenge" title="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04800" cy="304800"/>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4"/>
                <w:szCs w:val="24"/>
              </w:rPr>
              <w:t xml:space="preserve">SECTION 5  —  RESEARCH — Wider Reading</w:t>
            </w:r>
          </w:p>
        </w:tc>
      </w:tr>
    </w:tbl>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challenge" descr="challenge" title="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TASK 6 — Independent Research Task  |  Choose ONE option  |  Write at least 150 words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1B4F8A" w:sz="3"/>
              <w:left w:val="single" w:color="1B4F8A" w:sz="3"/>
              <w:bottom w:val="single" w:color="1B4F8A" w:sz="3"/>
              <w:right w:val="single" w:color="1B4F8A" w:sz="3"/>
            </w:tcBorders>
            <w:shd w:fill="FFFFFF" w:val="clear"/>
            <w:tcMar>
              <w:top w:type="dxa" w:w="120"/>
              <w:left w:type="dxa" w:w="220"/>
              <w:bottom w:type="dxa" w:w="120"/>
              <w:right w:type="dxa" w:w="220"/>
            </w:tcMar>
          </w:tcPr>
          <w:p>
            <w:pPr>
              <w:spacing w:after="80" w:before="60"/>
              <w:jc w:val="left"/>
            </w:pPr>
            <w:r>
              <w:rPr>
                <w:rFonts w:ascii="Calibri" w:cs="Calibri" w:eastAsia="Calibri" w:hAnsi="Calibri"/>
                <w:b w:val="false"/>
                <w:bCs w:val="false"/>
                <w:color w:val="082836"/>
                <w:sz w:val="20"/>
                <w:szCs w:val="20"/>
              </w:rPr>
              <w:t xml:space="preserve">Choose ONE of the three options below. Read or watch independently, then write your response in the space provided.</w:t>
            </w:r>
          </w:p>
          <w:p>
            <w:pPr>
              <w:pStyle w:val="ListParagraph"/>
              <w:numPr>
                <w:ilvl w:val="0"/>
                <w:numId w:val="2"/>
              </w:numPr>
              <w:spacing w:after="60" w:before="60"/>
              <w:jc w:val="left"/>
            </w:pPr>
            <w:r>
              <w:rPr>
                <w:rFonts w:ascii="Calibri" w:cs="Calibri" w:eastAsia="Calibri" w:hAnsi="Calibri"/>
                <w:b w:val="false"/>
                <w:bCs w:val="false"/>
                <w:color w:val="082836"/>
                <w:sz w:val="20"/>
                <w:szCs w:val="20"/>
              </w:rPr>
              <w:t xml:space="preserve">Option A: Search online for 'cardiac adaptations to endurance training' and write a summary of at least 5 long-term changes that happen to the heart as a result of regular aerobic training.</w:t>
            </w:r>
          </w:p>
          <w:p>
            <w:pPr>
              <w:pStyle w:val="ListParagraph"/>
              <w:numPr>
                <w:ilvl w:val="0"/>
                <w:numId w:val="2"/>
              </w:numPr>
              <w:spacing w:after="60" w:before="60"/>
              <w:jc w:val="left"/>
            </w:pPr>
            <w:r>
              <w:rPr>
                <w:rFonts w:ascii="Calibri" w:cs="Calibri" w:eastAsia="Calibri" w:hAnsi="Calibri"/>
                <w:b w:val="false"/>
                <w:bCs w:val="false"/>
                <w:color w:val="082836"/>
                <w:sz w:val="20"/>
                <w:szCs w:val="20"/>
              </w:rPr>
              <w:t xml:space="preserve">Option B: Search 'muscle fibre type composition elite athletes' and compare Type I and Type IIx fibre proportions in elite sprinters vs elite marathon runners. Explain how fibre type affects performance.</w:t>
            </w:r>
          </w:p>
          <w:p>
            <w:pPr>
              <w:pStyle w:val="ListParagraph"/>
              <w:numPr>
                <w:ilvl w:val="0"/>
                <w:numId w:val="2"/>
              </w:numPr>
              <w:spacing w:after="60" w:before="60"/>
              <w:jc w:val="left"/>
            </w:pPr>
            <w:r>
              <w:rPr>
                <w:rFonts w:ascii="Calibri" w:cs="Calibri" w:eastAsia="Calibri" w:hAnsi="Calibri"/>
                <w:b w:val="false"/>
                <w:bCs w:val="false"/>
                <w:color w:val="082836"/>
                <w:sz w:val="20"/>
                <w:szCs w:val="20"/>
              </w:rPr>
              <w:t xml:space="preserve">Option C: Go to aqa.org.uk/7582, navigate to the A Level PE specification, and read section 3.1.1.2 (cardiovascular system). List every sub-topic you will need to know and highlight any 5 terms you cannot yet fully define.</w:t>
            </w:r>
          </w:p>
          <w:p>
            <w:pPr>
              <w:spacing w:after="60" w:before="60"/>
              <w:jc w:val="left"/>
            </w:pPr>
            <w:r>
              <w:rPr>
                <w:rFonts w:ascii="Calibri" w:cs="Calibri" w:eastAsia="Calibri" w:hAnsi="Calibri"/>
                <w:b w:val="false"/>
                <w:bCs w:val="false"/>
                <w:color w:val="082836"/>
                <w:sz w:val="4"/>
                <w:szCs w:val="4"/>
              </w:rPr>
              <w:t xml:space="preserve"/>
            </w:r>
          </w:p>
          <w:p>
            <w:pPr>
              <w:spacing w:after="80" w:before="80"/>
              <w:jc w:val="left"/>
            </w:pPr>
            <w:r>
              <w:rPr>
                <w:rFonts w:ascii="Calibri" w:cs="Calibri" w:eastAsia="Calibri" w:hAnsi="Calibri"/>
                <w:b/>
                <w:bCs/>
                <w:color w:val="082836"/>
                <w:sz w:val="20"/>
                <w:szCs w:val="20"/>
              </w:rPr>
              <w:t xml:space="preserve">Option chosen: _____     Response:</w:t>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p>
            <w:pPr>
              <w:pBdr>
                <w:bottom w:val="single" w:color="AAAAAA" w:sz="2"/>
              </w:pBdr>
              <w:spacing w:after="0" w:before="260"/>
            </w:pPr>
            <w:r>
              <w:rPr>
                <w:rFonts w:ascii="Calibri" w:cs="Calibri" w:eastAsia="Calibri" w:hAnsi="Calibri"/>
                <w:b w:val="false"/>
                <w:bCs w:val="false"/>
                <w:color w:val="082836"/>
                <w:sz w:val="22"/>
                <w:szCs w:val="22"/>
              </w:rPr>
              <w:t xml:space="preserve"/>
            </w:r>
          </w:p>
        </w:tc>
      </w:tr>
    </w:tbl>
    <w:p>
      <w:pPr>
        <w:spacing w:after="60" w:before="60"/>
        <w:jc w:val="left"/>
      </w:pPr>
      <w:r>
        <w:rPr>
          <w:rFonts w:ascii="Calibri" w:cs="Calibri" w:eastAsia="Calibri" w:hAnsi="Calibri"/>
          <w:b w:val="false"/>
          <w:bCs w:val="false"/>
          <w:color w:val="082836"/>
          <w:sz w:val="6"/>
          <w:szCs w:val="6"/>
        </w:rPr>
        <w:t xml:space="preserve"/>
      </w:r>
    </w:p>
    <w:p>
      <w:pPr>
        <w:spacing w:after="60" w:before="60"/>
        <w:jc w:val="left"/>
      </w:pPr>
      <w:r>
        <w:rPr>
          <w:rFonts w:ascii="Calibri" w:cs="Calibri" w:eastAsia="Calibri" w:hAnsi="Calibri"/>
          <w:b w:val="false"/>
          <w:bCs w:val="false"/>
          <w:color w:val="082836"/>
          <w:sz w:val="10"/>
          <w:szCs w:val="10"/>
        </w:rPr>
        <w:t xml:space="preserve"/>
      </w:r>
    </w:p>
    <w:p>
      <w:pPr>
        <w:spacing w:after="60" w:before="60"/>
        <w:jc w:val="left"/>
      </w:pPr>
      <w:r>
        <w:rPr>
          <w:rFonts w:ascii="Calibri" w:cs="Calibri" w:eastAsia="Calibri" w:hAnsi="Calibri"/>
          <w:b w:val="false"/>
          <w:bCs w:val="false"/>
          <w:color w:val="082836"/>
          <w:sz w:val="6"/>
          <w:szCs w:val="6"/>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8526"/>
      </w:tblGrid>
      <w:tr>
        <w:tc>
          <w:tcPr>
            <w:tcW w:type="dxa" w:w="500"/>
            <w:tcBorders>
              <w:top w:val="none" w:color="FFFFFF" w:sz="0"/>
              <w:left w:val="none" w:color="FFFFFF" w:sz="0"/>
              <w:bottom w:val="none" w:color="FFFFFF" w:sz="0"/>
              <w:right w:val="none" w:color="FFFFFF" w:sz="0"/>
            </w:tcBorders>
            <w:shd w:fill="1B4F8A" w:val="clear"/>
            <w:tcMar>
              <w:top w:type="dxa" w:w="80"/>
              <w:left w:type="dxa" w:w="160"/>
              <w:bottom w:type="dxa" w:w="80"/>
              <w:right w:type="dxa" w:w="80"/>
            </w:tcMar>
            <w:vAlign w:val="center"/>
          </w:tcPr>
          <w:p>
            <w:pPr>
              <w:spacing w:after="60" w:before="60"/>
              <w:jc w:val="center"/>
            </w:pPr>
            <w:r>
              <w:drawing>
                <wp:inline distT="0" distB="0" distL="0" distR="0">
                  <wp:extent cx="276225" cy="276225"/>
                  <wp:effectExtent t="0" r="0" b="0" l="0"/>
                  <wp:docPr id="1" name="checking" descr="checking" title="che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inline>
              </w:drawing>
            </w:r>
          </w:p>
        </w:tc>
        <w:tc>
          <w:tcPr>
            <w:tcW w:type="dxa" w:w="8526"/>
            <w:tcBorders>
              <w:top w:val="none" w:color="FFFFFF" w:sz="0"/>
              <w:left w:val="none" w:color="FFFFFF" w:sz="0"/>
              <w:bottom w:val="none" w:color="FFFFFF" w:sz="0"/>
              <w:right w:val="none" w:color="FFFFFF" w:sz="0"/>
            </w:tcBorders>
            <w:shd w:fill="1B4F8A" w:val="clear"/>
            <w:tcMar>
              <w:top w:type="dxa" w:w="100"/>
              <w:left w:type="dxa" w:w="60"/>
              <w:bottom w:type="dxa" w:w="100"/>
              <w:right w:type="dxa" w:w="200"/>
            </w:tcMar>
            <w:vAlign w:val="center"/>
          </w:tcPr>
          <w:p>
            <w:pPr>
              <w:spacing w:after="80" w:before="80"/>
              <w:jc w:val="left"/>
            </w:pPr>
            <w:r>
              <w:rPr>
                <w:rFonts w:ascii="Calibri" w:cs="Calibri" w:eastAsia="Calibri" w:hAnsi="Calibri"/>
                <w:b/>
                <w:bCs/>
                <w:color w:val="FFFFFF"/>
                <w:sz w:val="22"/>
                <w:szCs w:val="22"/>
              </w:rPr>
              <w:t xml:space="preserve">SELF-ASSESSMENT CHECKLIST — tick when you are confident</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8426"/>
      </w:tblGrid>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4F4F4"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state the formula for cardiac output and calculate Q from given values</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FFFFF"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explain Starling's Law with reference to venous return and ventricular filling</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4F4F4"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describe vascular shunting, including vasodilation and vasoconstriction</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FFFFF"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define the anticipatory rise and give both a hormonal and a neural cause</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4F4F4"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complete a comparison of all three muscle fibre types (I, IIa, IIx)</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FFFFF"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identify joint, joint action, agonist, antagonist and plane for a sporting movement</w:t>
            </w:r>
          </w:p>
        </w:tc>
      </w:tr>
      <w:tr>
        <w:tc>
          <w:tcPr>
            <w:tcW w:type="dxa" w:w="600"/>
            <w:tcBorders>
              <w:top w:val="single" w:color="DDDDDD" w:sz="2"/>
              <w:left w:val="single" w:color="DDDDDD" w:sz="2"/>
              <w:bottom w:val="single" w:color="DDDDDD" w:sz="2"/>
              <w:right w:val="single" w:color="DDDDDD" w:sz="2"/>
            </w:tcBorders>
            <w:tcMar>
              <w:top w:type="dxa" w:w="60"/>
              <w:left w:type="dxa" w:w="100"/>
              <w:bottom w:type="dxa" w:w="60"/>
              <w:right w:type="dxa" w:w="100"/>
            </w:tcMar>
            <w:vAlign w:val="center"/>
          </w:tcPr>
          <w:p>
            <w:pPr>
              <w:spacing w:after="60" w:before="60"/>
              <w:jc w:val="left"/>
            </w:pPr>
            <w:r>
              <w:rPr>
                <w:rFonts w:ascii="Calibri" w:cs="Calibri" w:eastAsia="Calibri" w:hAnsi="Calibri"/>
                <w:b w:val="false"/>
                <w:bCs w:val="false"/>
                <w:color w:val="1B4F8A"/>
                <w:sz w:val="22"/>
                <w:szCs w:val="22"/>
              </w:rPr>
              <w:t xml:space="preserve">☐</w:t>
            </w:r>
          </w:p>
        </w:tc>
        <w:tc>
          <w:tcPr>
            <w:tcW w:type="dxa" w:w="8426"/>
            <w:tcBorders>
              <w:top w:val="single" w:color="DDDDDD" w:sz="2"/>
              <w:left w:val="single" w:color="DDDDDD" w:sz="2"/>
              <w:bottom w:val="single" w:color="DDDDDD" w:sz="2"/>
              <w:right w:val="single" w:color="DDDDDD" w:sz="2"/>
            </w:tcBorders>
            <w:shd w:fill="F4F4F4" w:val="clear"/>
            <w:tcMar>
              <w:top w:type="dxa" w:w="60"/>
              <w:left w:type="dxa" w:w="160"/>
              <w:bottom w:type="dxa" w:w="60"/>
              <w:right w:type="dxa" w:w="100"/>
            </w:tcMar>
          </w:tcPr>
          <w:p>
            <w:pPr>
              <w:spacing w:after="60" w:before="60"/>
              <w:jc w:val="left"/>
            </w:pPr>
            <w:r>
              <w:rPr>
                <w:rFonts w:ascii="Calibri" w:cs="Calibri" w:eastAsia="Calibri" w:hAnsi="Calibri"/>
                <w:b w:val="false"/>
                <w:bCs w:val="false"/>
                <w:color w:val="082836"/>
                <w:sz w:val="20"/>
                <w:szCs w:val="20"/>
              </w:rPr>
              <w:t xml:space="preserve">I can write a continuous 6-mark response on cardiovascular changes during exercise</w:t>
            </w:r>
          </w:p>
        </w:tc>
      </w:tr>
    </w:tbl>
    <w:sectPr>
      <w:headerReference w:type="default" r:id="rId7"/>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4F8A" w:sz="4"/>
      </w:pBdr>
    </w:pPr>
    <w:r>
      <w:rPr>
        <w:rFonts w:ascii="Calibri" w:cs="Calibri" w:eastAsia="Calibri" w:hAnsi="Calibri"/>
        <w:b w:val="false"/>
        <w:bCs w:val="false"/>
        <w:color w:val="888888"/>
        <w:sz w:val="16"/>
        <w:szCs w:val="16"/>
      </w:rPr>
      <w:t xml:space="preserve">AQA A Level PE  |  Summer Transition Booklet 1  |  Paper 1 Section A</w:t>
    </w:r>
    <w:r>
      <w:rPr>
        <w:rFonts w:ascii="Calibri" w:cs="Calibri" w:eastAsia="Calibri" w:hAnsi="Calibri"/>
        <w:b/>
        <w:bCs/>
        <w:color w:val="1B4F8A"/>
        <w:sz w:val="16"/>
        <w:szCs w:val="16"/>
      </w:rPr>
      <w:t xml:space="preserve">   |   TLET Sixth Form 2026  |  Complete independently at home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abstractNum w:abstractNumId="3" w15:restartNumberingAfterBreak="0">
    <w:multiLevelType w:val="hybridMultilevel"/>
    <w:lvl w:ilvl="0" w15:tentative="1">
      <w:start w:val="1"/>
      <w:numFmt w:val="decimal"/>
      <w:lvlText w:val="%1."/>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m358cmuujjsduzz5932aw" Type="http://schemas.openxmlformats.org/officeDocument/2006/relationships/hyperlink" Target="https://www.youtube.com/watch?v=X9ZZ6tcxArI" TargetMode="External"/><Relationship Id="rId4qwszqmty3kethjyznsls" Type="http://schemas.openxmlformats.org/officeDocument/2006/relationships/hyperlink" Target="https://www.youtube.com/watch?v=2pECd3DRIcc" TargetMode="External"/><Relationship Id="rId8" Type="http://schemas.openxmlformats.org/officeDocument/2006/relationships/image" Target="media/f69bf7bae87acd0963005c15ec55c996f0cc75e2.png"/><Relationship Id="rId9" Type="http://schemas.openxmlformats.org/officeDocument/2006/relationships/image" Target="media/0119961e46c22db85984d93647b902256e03155c.png"/><Relationship Id="rId10" Type="http://schemas.openxmlformats.org/officeDocument/2006/relationships/image" Target="media/203a5a30d58a1e8bcd3ae5840b576f8ef44e1b75.png"/><Relationship Id="rId11" Type="http://schemas.openxmlformats.org/officeDocument/2006/relationships/image" Target="media/7442b042fccc6c6a4ef99055b349d9d115aa787a.png"/><Relationship Id="rId12" Type="http://schemas.openxmlformats.org/officeDocument/2006/relationships/image" Target="media/c561b02c4f5745f5a06fb54322a04043d8a51f91.png"/><Relationship Id="rId13" Type="http://schemas.openxmlformats.org/officeDocument/2006/relationships/image" Target="media/11acb7fe96b562897491389c003885beb0569a98.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2026-05-23T15:40:21.557Z</dcterms:created>
  <dcterms:modified xsi:type="dcterms:W3CDTF">2026-05-23T15:40:21.568Z</dcterms:modified>
</cp:coreProperties>
</file>

<file path=docProps/custom.xml><?xml version="1.0" encoding="utf-8"?>
<Properties xmlns="http://schemas.openxmlformats.org/officeDocument/2006/custom-properties" xmlns:vt="http://schemas.openxmlformats.org/officeDocument/2006/docPropsVTypes"/>
</file>